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Helvetica" w:hAnsi="Helvetica" w:cs="Helvetica" w:eastAsia="Times New Roman"/>
          <w:b/>
          <w:bCs/>
          <w:color w:val="0E2D47"/>
          <w:sz w:val="48"/>
          <w:szCs w:val="48"/>
          <w:lang w:eastAsia="ru-RU"/>
        </w:rPr>
      </w:pPr>
      <w:r>
        <w:rPr>
          <w:rFonts w:ascii="Helvetica" w:hAnsi="Helvetica" w:cs="Helvetica" w:eastAsia="Times New Roman"/>
          <w:b/>
          <w:bCs/>
          <w:color w:val="0E2D47"/>
          <w:sz w:val="48"/>
          <w:szCs w:val="48"/>
          <w:lang w:eastAsia="ru-RU"/>
        </w:rPr>
        <w:t xml:space="preserve">О демографической ситуации в регионах</w:t>
      </w:r>
      <w:r>
        <w:rPr>
          <w:rFonts w:ascii="Helvetica" w:hAnsi="Helvetica" w:cs="Helvetica" w:eastAsia="Times New Roman"/>
          <w:b/>
          <w:bCs/>
          <w:color w:val="0E2D47"/>
          <w:sz w:val="48"/>
          <w:szCs w:val="48"/>
          <w:lang w:eastAsia="ru-RU"/>
        </w:rPr>
        <w:br/>
        <w:t xml:space="preserve">Енисейской Сибири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</w:r>
      <w:r/>
    </w:p>
    <w:p>
      <w:pPr>
        <w:pStyle w:val="612"/>
        <w:jc w:val="both"/>
        <w:keepLines/>
        <w:keepNext/>
        <w:rPr>
          <w:rFonts w:ascii="Helvetica" w:hAnsi="Helvetica" w:cs="Helvetica" w:eastAsiaTheme="minorHAnsi"/>
          <w:color w:val="404040"/>
          <w:sz w:val="18"/>
          <w:szCs w:val="18"/>
          <w:lang w:eastAsia="en-US"/>
        </w:rPr>
      </w:pP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Красноярскстатом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подготовлен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а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статистическая информация о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демографической ситуации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регионов Енисейской Сибири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(</w:t>
      </w:r>
      <w:hyperlink r:id="rId10" w:tooltip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w:history="1"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Красноярско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го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 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кра</w:t>
        </w:r>
      </w:hyperlink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я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,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hyperlink r:id="rId11" w:tooltip="https://krasstat.gks.ru/storage/mediabank/%D0%9E+%D1%80%D0%B0%D0%B1%D0%BE%D1%82%D0%B5+%D0%B4%D0%B5%D1%82%D1%81%D0%BA%D0%B8%D1%85+%D0%BE%D0%B7%D0%B4%D0%BE%D1%80%D0%BE%D0%B2%D0%B8%D1%82%D0%B5%D0%BB%D1%8C%D0%BD%D1%8B%D1%85+%D0%BB%D0%B0%D0%B3%D0%B5%D1%80%D0%B5%D0%B9+%D0%A0%D0%A5+%D0%BB%D0%B5%D1%82%D0%BE%D0%BC+2018+%D0%B3%D0%BE%D0%B4%D0%B0.docx" w:history="1"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Республики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 Хакасия</w:t>
        </w:r>
      </w:hyperlink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и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 </w:t>
      </w:r>
      <w:hyperlink r:id="rId12" w:tooltip="https://krasstat.gks.ru/storage/mediabank/%D0%9E+%D1%80%D0%B0%D0%B1%D0%BE%D1%82%D0%B5+%D0%B4%D0%B5%D1%82%D1%81%D0%BA%D0%B8%D1%85+%D0%BE%D0%B7%D0%B4%D0%BE%D1%80+%D0%BB%D0%B0%D0%B3%D0%B5%D1%80%D0%B5%D0%B9+%D0%A0%D0%A2+%D0%BB%D0%B5%D1%82%D0%BE%D0%BC+2018+%D0%B3%D0%BE%D0%B4%D0%B0.docx" w:history="1"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Республик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и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 Тыва</w:t>
        </w:r>
      </w:hyperlink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)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vertAlign w:val="superscript"/>
          <w:lang w:eastAsia="en-US"/>
        </w:rPr>
        <w:t xml:space="preserve">*</w:t>
      </w:r>
      <w:r/>
    </w:p>
    <w:p>
      <w:pPr>
        <w:jc w:val="both"/>
        <w:spacing w:after="0" w:line="240" w:lineRule="auto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</w:r>
      <w:r/>
    </w:p>
    <w:p>
      <w:pPr>
        <w:pStyle w:val="608"/>
        <w:jc w:val="both"/>
        <w:spacing w:before="0" w:beforeAutospacing="0" w:after="0" w:afterAutospacing="0"/>
        <w:shd w:val="clear" w:color="auto" w:fill="ffffff"/>
        <w:rPr>
          <w:rFonts w:ascii="Helvetica" w:hAnsi="Helvetica" w:cs="Helvetica"/>
          <w:b/>
          <w:color w:val="0E2D47"/>
        </w:rPr>
      </w:pPr>
      <w:r>
        <w:rPr>
          <w:rFonts w:ascii="Helvetica" w:hAnsi="Helvetica" w:cs="Helvetica"/>
          <w:b/>
          <w:color w:val="0E2D47"/>
        </w:rPr>
        <w:t xml:space="preserve">Красноярский край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Численность постоянного населения Красноярского края 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 года составила 2845545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в том числе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2264708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проживало в городской местности,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580837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20,4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– в сельской местности. 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 год численность населения сократилась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10781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 Естественная убыль сложилась в размере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11780 человек, миграционный прирост составил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999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Общий прирост численности населения среди муниципальных образований Красноярского края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по сравнению с предыдущим годом сложился в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городских округах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муниципальн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район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из них наибольший – в городском округе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 Красноярск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3802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человека (за счет миграцион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ного прироста - 5549 человек</w:t>
      </w:r>
      <w:r>
        <w:rPr>
          <w:rFonts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естественной убыли - 1747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численность родившихся в Красноярском крае составила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26427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человек и уменьшилась по сравнению с предыдущим годом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1979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суммарный коэффициент рождаемости (среднее число детей на одну женщину)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снизился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 1,5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до 1,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43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Численность умерших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38207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что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8825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меньше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чем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году. Ожидаемая продолжительность жизни при рождении по Красноярскому краю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году, по предварительным данным,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70,6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(в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68,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года).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Число прибывших мигрантов в Красноярский край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(без учета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внутрикраевых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мигрантов) составило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58104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число выбывших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57105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человека (по сравнению с предыдущим годом больше на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2314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и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13211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соответственно). 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Миграционный прирост населения края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999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 сложился в результате обмена населением со странами СНГ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регионами Российской Федерации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1362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90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соответственно), при этом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результате обмена население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стран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ами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дальнего зарубежья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сложилась убыль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453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численность населения в возрасте 15 лет и младше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568184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в возрасте 60 лет и старше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610027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569281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601718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соответственно). Число долгожителей (в возрасте 90 лет и старше) составило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7974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человека (на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8198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человек), из них в возрасте 100 лет и старше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мужчин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ы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80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женщин). </w:t>
      </w:r>
      <w:r/>
    </w:p>
    <w:p>
      <w:pPr>
        <w:pStyle w:val="6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</w:r>
      <w:r/>
    </w:p>
    <w:p>
      <w:pPr>
        <w:pStyle w:val="609"/>
        <w:jc w:val="both"/>
        <w:rPr>
          <w:rStyle w:val="611"/>
          <w:rFonts w:ascii="Helvetica" w:hAnsi="Helvetica" w:cs="Helvetica" w:eastAsiaTheme="minorHAnsi"/>
          <w:sz w:val="18"/>
          <w:szCs w:val="18"/>
        </w:rPr>
      </w:pP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</w:rPr>
        <w:t xml:space="preserve">Подробная информация размещена в разделе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</w:rPr>
        <w:t xml:space="preserve"> </w:t>
      </w:r>
      <w:hyperlink r:id="rId13" w:tooltip="https://24.rosstat.gov.ru/folder/32970" w:history="1">
        <w:r>
          <w:rPr>
            <w:rStyle w:val="611"/>
            <w:rFonts w:ascii="Helvetica" w:hAnsi="Helvetica" w:cs="Helvetica" w:eastAsiaTheme="minorHAnsi"/>
            <w:sz w:val="18"/>
            <w:szCs w:val="18"/>
          </w:rPr>
          <w:t xml:space="preserve">Население</w:t>
        </w:r>
      </w:hyperlink>
      <w:r/>
      <w:r/>
    </w:p>
    <w:p>
      <w:pPr>
        <w:pStyle w:val="6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pStyle w:val="606"/>
        <w:ind w:firstLine="0"/>
        <w:rPr>
          <w:rFonts w:ascii="Helvetica" w:hAnsi="Helvetica" w:cs="Helvetica" w:eastAsiaTheme="minorHAnsi"/>
          <w:b/>
          <w:color w:val="0E2D47"/>
          <w:szCs w:val="24"/>
          <w:lang w:eastAsia="en-US"/>
        </w:rPr>
      </w:pPr>
      <w:r>
        <w:rPr>
          <w:rFonts w:ascii="Helvetica" w:hAnsi="Helvetica" w:cs="Helvetica" w:eastAsiaTheme="minorHAnsi"/>
          <w:b/>
          <w:color w:val="0E2D47"/>
          <w:szCs w:val="24"/>
          <w:lang w:eastAsia="en-US"/>
        </w:rPr>
        <w:t xml:space="preserve">Республика Хакасия</w:t>
      </w:r>
      <w:r/>
    </w:p>
    <w:p>
      <w:pPr>
        <w:pStyle w:val="606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Численность постоянного населения Рес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публики Хакасия на 1 января 2023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530233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в том числе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364045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68,7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проживало в городской местности,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166188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31,3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– в сельской местности. 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 год численность населения сократилась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2755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человек. Естественная убыль сложилась в размере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2080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миграционная убыль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675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человек.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Общий прирост численности населения среди муниципальных образований Республики Хакасия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по сравнению с предыдущим годом сложился в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городском округе г. Абакане – 337 человек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 счет миграционного прироста - 584 человека</w:t>
      </w:r>
      <w:r>
        <w:rPr>
          <w:rFonts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естественной убыли - 247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Алтайском муниципальном районе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(за счет миграционного прироста -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177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и естественной убыли -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110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численность родившихся в Республике Хакасия составила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5011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и уменьшилась по сравнению с предыдущим годом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249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суммарный коэффициент рождаемости (среднее число детей на одну женщину)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снизился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1,59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до 1,5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Численность умерших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7091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что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1435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меньше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чем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году. Ожидаемая продолжительность жизни при рождении по Республике Хакасия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году, по предварительным данным,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70,6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(в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–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68,5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года).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Число прибывших мигрантов в Республику Хакасия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(без учета внутриреспуб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ликанских мигрантов) составило 10633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число выбывших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11308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(по сравнению с предыдущим годом больше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130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и меньше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соответственно)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Миграционная убыль населения республики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675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 сложилась в результате оттока населения в другие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регионы Российской Федерации (59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 человека)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зарубежные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страны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83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а), в том числе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стран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ы СНГ</w:t>
      </w:r>
      <w:r>
        <w:rPr>
          <w:rFonts w:cs="Helvetica" w:eastAsia="Calibri"/>
          <w:color w:val="404040"/>
          <w:sz w:val="18"/>
          <w:szCs w:val="18"/>
        </w:rPr>
        <w:t xml:space="preserve"> –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68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стран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ы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дальнего зарубежья </w:t>
      </w:r>
      <w:r>
        <w:rPr>
          <w:rFonts w:cs="Helvetica" w:eastAsia="Calibri"/>
          <w:color w:val="404040"/>
          <w:sz w:val="18"/>
          <w:szCs w:val="18"/>
        </w:rPr>
        <w:t xml:space="preserve">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15 человек.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 1 января 2023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численность населения в возрасте 15 лет и младше составила 115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человека, в возрасте 60 лет и старше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115604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– 116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811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114087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соответственно). Число долгожителей (в возрасте 90 лет и старше) составило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1534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1556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человек), из них в возрасте 100 лет и старше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17 человек (6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мужчин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женщин). </w:t>
      </w:r>
      <w:r/>
    </w:p>
    <w:p>
      <w:pPr>
        <w:pStyle w:val="609"/>
        <w:jc w:val="both"/>
        <w:rPr>
          <w:rFonts w:ascii="Helvetica" w:hAnsi="Helvetica" w:cs="Helvetica" w:eastAsiaTheme="minorHAnsi"/>
          <w:color w:val="404040"/>
          <w:sz w:val="18"/>
          <w:szCs w:val="18"/>
        </w:rPr>
      </w:pPr>
      <w:r>
        <w:rPr>
          <w:rFonts w:ascii="Helvetica" w:hAnsi="Helvetica" w:cs="Helvetica" w:eastAsiaTheme="minorHAnsi"/>
          <w:color w:val="404040"/>
          <w:sz w:val="18"/>
          <w:szCs w:val="18"/>
        </w:rPr>
      </w:r>
      <w:r/>
    </w:p>
    <w:p>
      <w:pPr>
        <w:pStyle w:val="6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</w:rPr>
        <w:t xml:space="preserve">Подробная информация размещена в разделе </w:t>
      </w:r>
      <w:hyperlink r:id="rId14" w:tooltip="https://24.rosstat.gov.ru/folder/32939" w:history="1">
        <w:r>
          <w:rPr>
            <w:rStyle w:val="611"/>
            <w:rFonts w:ascii="Helvetica" w:hAnsi="Helvetica" w:cs="Helvetica" w:eastAsiaTheme="minorHAnsi"/>
            <w:sz w:val="18"/>
            <w:szCs w:val="18"/>
          </w:rPr>
          <w:t xml:space="preserve">Население</w:t>
        </w:r>
      </w:hyperlink>
      <w:r/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06"/>
        <w:ind w:firstLine="0"/>
        <w:rPr>
          <w:rFonts w:ascii="Helvetica" w:hAnsi="Helvetica" w:cs="Helvetica" w:eastAsiaTheme="minorHAnsi"/>
          <w:b/>
          <w:color w:val="0E2D47"/>
          <w:szCs w:val="24"/>
          <w:lang w:eastAsia="en-US"/>
        </w:rPr>
      </w:pPr>
      <w:r>
        <w:rPr>
          <w:rFonts w:ascii="Helvetica" w:hAnsi="Helvetica" w:cs="Helvetica" w:eastAsiaTheme="minorHAnsi"/>
          <w:b/>
          <w:color w:val="0E2D47"/>
          <w:szCs w:val="24"/>
          <w:lang w:eastAsia="en-US"/>
        </w:rPr>
        <w:t xml:space="preserve">Республика Тыва</w:t>
      </w:r>
      <w:r/>
    </w:p>
    <w:p>
      <w:pPr>
        <w:pStyle w:val="606"/>
        <w:ind w:firstLine="0"/>
        <w:spacing w:line="40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Численность постоянного населения Республики Тыва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 1 января 2023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337371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в том числе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186501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55,3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проживало в городской местности, 150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770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44,7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– в сельской местности. 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 год численность населения увеличилась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1020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человек. Естественный прирост сложился в размере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3080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миграционная убыль –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2060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Общий прирост численности населения среди муниципальных образований Республики Тыва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по сравнению с предыдущим годом сложился в городском округе г. Кызыл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2311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(за счет естественного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миграционного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прироста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–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1337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человек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974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 соответственно) и 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муниципальных районах, из них наибольший в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Кызылском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муниципальном районе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318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(за счет естественного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миграционного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прироста -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275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43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 соответственно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2022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численность родившихся в Республике Тыва составила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5972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человека и уменьшилась по сравнению с предыдущим годом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 6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человека, суммарный коэффициент рождаемости (среднее число детей на одну женщину) снизился с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2,94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до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2,51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Численность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умерших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2892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человека, что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меньше, чем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году. Ожидаемая продолжительность жизни при рождении по Республике Тыва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году, по предварительным данным,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67,1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года (в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66,9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года).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Число прибывших ми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грантов в Республику Тыва в 2022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(без учета внутриреспубликанских мигрантов) составило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4335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число выбывших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6395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по сравнению с предыдущим годом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меньше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на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232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и на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470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соответственно)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Миграционная убыль населения республики 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2060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 сложилась в результате оттока населения в другие регионы Российской Федерации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1675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зарубежные страны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385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том числе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стран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ы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СНГ </w:t>
      </w:r>
      <w:r>
        <w:rPr>
          <w:rFonts w:cs="Helvetica" w:eastAsia="Calibri"/>
          <w:color w:val="404040"/>
          <w:sz w:val="18"/>
          <w:szCs w:val="18"/>
        </w:rPr>
        <w:t xml:space="preserve">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377 человек,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стран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ы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дальнего зарубежья</w:t>
      </w:r>
      <w:r>
        <w:rPr>
          <w:rFonts w:cs="Helvetica" w:eastAsia="Calibri"/>
          <w:color w:val="404040"/>
          <w:sz w:val="18"/>
          <w:szCs w:val="18"/>
        </w:rPr>
        <w:t xml:space="preserve"> –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8 человек.</w:t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численность населения в возрасте 15 лет и младше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113152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в возрасте 60 лет и старше – 32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684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113268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и 31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348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соответственно). Число долгожителей (в возрасте 90 лет и старше) составило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20 человек (на 1 января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также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220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человек).</w:t>
      </w:r>
      <w:r>
        <w:rPr>
          <w:rFonts w:ascii="Helvetica" w:hAnsi="Helvetica" w:cs="Helvetica" w:eastAsia="Calibri"/>
          <w:color w:val="404040"/>
          <w:sz w:val="18"/>
          <w:szCs w:val="18"/>
        </w:rPr>
      </w:r>
      <w:r/>
    </w:p>
    <w:p>
      <w:pPr>
        <w:pStyle w:val="609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</w:r>
      <w:r/>
    </w:p>
    <w:p>
      <w:pPr>
        <w:pStyle w:val="6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</w:rPr>
        <w:t xml:space="preserve">Подробная информация размещена в разделе </w:t>
      </w:r>
      <w:hyperlink r:id="rId15" w:tooltip="https://24.rosstat.gov.ru/folder/32956" w:history="1">
        <w:r>
          <w:rPr>
            <w:rStyle w:val="611"/>
            <w:rFonts w:ascii="Helvetica" w:hAnsi="Helvetica" w:cs="Helvetica" w:eastAsiaTheme="minorHAnsi"/>
            <w:sz w:val="18"/>
            <w:szCs w:val="18"/>
          </w:rPr>
          <w:t xml:space="preserve">Население</w:t>
        </w:r>
      </w:hyperlink>
      <w:r/>
      <w:r/>
    </w:p>
    <w:p>
      <w:pPr>
        <w:pStyle w:val="606"/>
        <w:spacing w:line="40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spacing w:line="40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0" w:line="240" w:lineRule="auto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*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Информация о численности населения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на 1 января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2022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г.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,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202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3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г.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приведена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с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учет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ом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итогов Всероссийской переписи населения 2020 г.</w:t>
      </w:r>
      <w:r/>
    </w:p>
    <w:sectPr>
      <w:footnotePr/>
      <w:endnotePr/>
      <w:type w:val="nextPage"/>
      <w:pgSz w:w="16838" w:h="11906" w:orient="landscape"/>
      <w:pgMar w:top="850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Body Text Indent"/>
    <w:basedOn w:val="602"/>
    <w:link w:val="607"/>
    <w:pPr>
      <w:ind w:firstLine="709"/>
      <w:jc w:val="both"/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07" w:customStyle="1">
    <w:name w:val="Основной текст с отступом Знак"/>
    <w:basedOn w:val="603"/>
    <w:link w:val="606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08">
    <w:name w:val="Normal (Web)"/>
    <w:basedOn w:val="60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09">
    <w:name w:val="No Spacing"/>
    <w:link w:val="610"/>
    <w:uiPriority w:val="1"/>
    <w:qFormat/>
    <w:pPr>
      <w:spacing w:after="0" w:line="240" w:lineRule="auto"/>
    </w:pPr>
    <w:rPr>
      <w:rFonts w:ascii="Calibri" w:hAnsi="Calibri" w:cs="Times New Roman" w:eastAsia="Calibri"/>
    </w:rPr>
  </w:style>
  <w:style w:type="character" w:styleId="610" w:customStyle="1">
    <w:name w:val="Без интервала Знак"/>
    <w:basedOn w:val="603"/>
    <w:link w:val="609"/>
    <w:uiPriority w:val="1"/>
    <w:rPr>
      <w:rFonts w:ascii="Calibri" w:hAnsi="Calibri" w:cs="Times New Roman" w:eastAsia="Calibri"/>
    </w:rPr>
  </w:style>
  <w:style w:type="character" w:styleId="611">
    <w:name w:val="Hyperlink"/>
    <w:basedOn w:val="603"/>
    <w:uiPriority w:val="99"/>
    <w:unhideWhenUsed/>
    <w:rPr>
      <w:color w:val="0000FF"/>
      <w:u w:val="single"/>
    </w:rPr>
  </w:style>
  <w:style w:type="paragraph" w:styleId="612">
    <w:name w:val="Plain Text"/>
    <w:basedOn w:val="602"/>
    <w:link w:val="613"/>
    <w:pPr>
      <w:spacing w:after="0" w:line="240" w:lineRule="auto"/>
    </w:pPr>
    <w:rPr>
      <w:rFonts w:ascii="Courier New" w:hAnsi="Courier New" w:cs="Times New Roman" w:eastAsia="Times New Roman"/>
      <w:sz w:val="20"/>
      <w:szCs w:val="20"/>
      <w:lang w:eastAsia="ru-RU"/>
    </w:rPr>
  </w:style>
  <w:style w:type="character" w:styleId="613" w:customStyle="1">
    <w:name w:val="Текст Знак"/>
    <w:basedOn w:val="603"/>
    <w:link w:val="612"/>
    <w:rPr>
      <w:rFonts w:ascii="Courier New" w:hAnsi="Courier New" w:cs="Times New Roman" w:eastAsia="Times New Roman"/>
      <w:sz w:val="20"/>
      <w:szCs w:val="20"/>
      <w:lang w:eastAsia="ru-RU"/>
    </w:rPr>
  </w:style>
  <w:style w:type="paragraph" w:styleId="614">
    <w:name w:val="List Paragraph"/>
    <w:basedOn w:val="602"/>
    <w:uiPriority w:val="34"/>
    <w:qFormat/>
    <w:pPr>
      <w:contextualSpacing/>
      <w:ind w:left="720"/>
    </w:pPr>
  </w:style>
  <w:style w:type="character" w:styleId="615">
    <w:name w:val="FollowedHyperlink"/>
    <w:basedOn w:val="60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TargetMode="External"/><Relationship Id="rId11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A0%D0%A5+%D0%BB%D0%B5%D1%82%D0%BE%D0%BC+2018+%D0%B3%D0%BE%D0%B4%D0%B0.docx" TargetMode="External"/><Relationship Id="rId12" Type="http://schemas.openxmlformats.org/officeDocument/2006/relationships/hyperlink" Target="https://krasstat.gks.ru/storage/mediabank/%D0%9E+%D1%80%D0%B0%D0%B1%D0%BE%D1%82%D0%B5+%D0%B4%D0%B5%D1%82%D1%81%D0%BA%D0%B8%D1%85+%D0%BE%D0%B7%D0%B4%D0%BE%D1%80+%D0%BB%D0%B0%D0%B3%D0%B5%D1%80%D0%B5%D0%B9+%D0%A0%D0%A2+%D0%BB%D0%B5%D1%82%D0%BE%D0%BC+2018+%D0%B3%D0%BE%D0%B4%D0%B0.docx" TargetMode="External"/><Relationship Id="rId13" Type="http://schemas.openxmlformats.org/officeDocument/2006/relationships/hyperlink" Target="https://24.rosstat.gov.ru/folder/32970" TargetMode="External"/><Relationship Id="rId14" Type="http://schemas.openxmlformats.org/officeDocument/2006/relationships/hyperlink" Target="https://24.rosstat.gov.ru/folder/32939" TargetMode="External"/><Relationship Id="rId15" Type="http://schemas.openxmlformats.org/officeDocument/2006/relationships/hyperlink" Target="https://24.rosstat.gov.ru/folder/3295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77C7A08-BCB8-4A64-A5C3-37F1F947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Krasnoyarskstat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P24_PakhmutovaAA</dc:creator>
  <cp:keywords/>
  <dc:description/>
  <cp:lastModifiedBy>Березовская С.И., Заместитель руководителя</cp:lastModifiedBy>
  <cp:revision>118</cp:revision>
  <dcterms:created xsi:type="dcterms:W3CDTF">2023-02-10T02:41:00Z</dcterms:created>
  <dcterms:modified xsi:type="dcterms:W3CDTF">2023-06-26T01:42:43Z</dcterms:modified>
</cp:coreProperties>
</file>